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4E0" w:rsidRDefault="00034A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Консультативный документ регуляторной политики</w:t>
      </w:r>
    </w:p>
    <w:p w:rsidR="00FD24E0" w:rsidRDefault="00034A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проекту Закона Республики Казахстан </w:t>
      </w:r>
      <w:bookmarkStart w:id="0" w:name="_Hlk169704676"/>
      <w:r>
        <w:rPr>
          <w:rFonts w:ascii="Times New Roman" w:hAnsi="Times New Roman"/>
          <w:b/>
          <w:sz w:val="24"/>
          <w:szCs w:val="24"/>
        </w:rPr>
        <w:t xml:space="preserve">«О внесении изменений и дополнений в некоторые законодательные акты </w:t>
      </w:r>
    </w:p>
    <w:p w:rsidR="00FD24E0" w:rsidRDefault="00034A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Республики Казахстан по вопросам мобилизационной подготовки и мобилизации»</w:t>
      </w:r>
    </w:p>
    <w:bookmarkEnd w:id="0"/>
    <w:p w:rsidR="00FD24E0" w:rsidRDefault="00FD24E0">
      <w:pPr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FD24E0" w:rsidRDefault="00FD24E0">
      <w:pPr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FD24E0" w:rsidRDefault="00034AB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Описание проблемы:</w:t>
      </w:r>
    </w:p>
    <w:p w:rsidR="00FD24E0" w:rsidRDefault="00FD24E0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tbl>
      <w:tblPr>
        <w:tblpPr w:leftFromText="180" w:rightFromText="180" w:bottomFromText="160" w:vertAnchor="text" w:tblpY="1"/>
        <w:tblOverlap w:val="never"/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259"/>
        <w:gridCol w:w="3543"/>
        <w:gridCol w:w="4709"/>
        <w:gridCol w:w="2971"/>
      </w:tblGrid>
      <w:tr w:rsidR="00FD24E0">
        <w:trPr>
          <w:tblHeader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32"/>
                <w:lang w:eastAsia="en-US"/>
              </w:rPr>
              <w:t>№</w:t>
            </w:r>
          </w:p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32"/>
                <w:lang w:eastAsia="en-US"/>
              </w:rPr>
              <w:t>п/п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32"/>
                <w:lang w:eastAsia="en-US"/>
              </w:rPr>
              <w:t xml:space="preserve">Проблемный </w:t>
            </w:r>
          </w:p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32"/>
                <w:lang w:eastAsia="en-US"/>
              </w:rPr>
              <w:t>вопрос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32"/>
                <w:lang w:eastAsia="en-US"/>
              </w:rPr>
              <w:t>Основные причины возникшей проблемы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bookmarkStart w:id="1" w:name="_Hlk88765045"/>
            <w:r>
              <w:rPr>
                <w:rFonts w:ascii="Times New Roman" w:hAnsi="Times New Roman"/>
                <w:b/>
                <w:sz w:val="24"/>
                <w:szCs w:val="32"/>
                <w:lang w:eastAsia="en-US"/>
              </w:rPr>
              <w:t>Аналитические сведения, показывающие уровень и значимость описываемой проблемы</w:t>
            </w:r>
            <w:bookmarkEnd w:id="1"/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ind w:left="-86" w:right="-82"/>
              <w:jc w:val="center"/>
              <w:rPr>
                <w:rFonts w:ascii="Times New Roman" w:hAnsi="Times New Roman"/>
                <w:b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32"/>
                <w:bdr w:val="none" w:sz="0" w:space="0" w:color="auto" w:frame="1"/>
                <w:shd w:val="clear" w:color="auto" w:fill="FFFFFF"/>
                <w:lang w:eastAsia="en-US"/>
              </w:rPr>
              <w:t>Способы измерения проблемы</w:t>
            </w:r>
          </w:p>
        </w:tc>
      </w:tr>
      <w:tr w:rsidR="00FD24E0">
        <w:trPr>
          <w:trHeight w:val="4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val="kk-KZ" w:eastAsia="en-US"/>
              </w:rPr>
              <w:t xml:space="preserve">Наличие в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Законе </w:t>
            </w: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«О мобилизационной подготовке и мобилизации» (далее – Закон)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норм, требующих актуализации и приведения в соответствие с действующим законодательством.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val="kk-KZ"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lastRenderedPageBreak/>
              <w:t>На сегодняшний день в Республики Казахстан проводится законотворческая деятельность на постоянной основе, что создает предпосылки с возникновением необходимости по актуализации норм Закона;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1) необходимость введения новых норм и понятий;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2) приведение норм Закона в соответствие с уточненными и вновь принятыми нормами законодательства и исключение коллизий;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3) перераспределение компетенций и полномочий между Правительством, госорганами и организациями;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4) корректировка порядка и правил проведения государственного контроля в сфере мобилизационной подготовки и мобилизации;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lastRenderedPageBreak/>
              <w:t xml:space="preserve">5) усиление мер ответственности субъектов контроля за нарушения в сфере мобилизационной подготовки и мобилизации;  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lastRenderedPageBreak/>
              <w:t xml:space="preserve">В рамках актуализации Закона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необходимо предусмотреть новые нормы, которые позволят на подзаконном уровне установить порядок и внедрить механизмы, отвечающие современным вызовам, и будут применимы и реализуемы в нынешних рыночных условиях.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В качестве примера, норма о военно-транспортной обязанности (ВТО) на практике имеет сложности в реализации.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Действующий порядок обязывает владельцев забронированного автотранспорта в период проведения соответствующих учений (1-2 раза в год) предоставлять автотранспорт для нужд Вооруженных Сил.</w:t>
            </w:r>
          </w:p>
          <w:p w:rsidR="00FD24E0" w:rsidRPr="006A397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В соответствии с подпунктом 1) пункт 1 Указа Президента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br/>
              <w:t>от 25 августа 2014 года № 898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br/>
              <w:t xml:space="preserve"> «О мерах по разграничению полномочий между уровнями государственного управления Республики Казахстан», на Правительство возложены функции по разработке основного направления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 xml:space="preserve">обороноспособности и безопасности, в связи с этим, порядок осуществления ВТО предлагается определить на уровне акта Правительства, </w:t>
            </w:r>
            <w:r w:rsidRPr="006A3970"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что позволит </w:t>
            </w:r>
            <w:r w:rsidR="006A3970" w:rsidRPr="006A3970"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определить порядок привлечение транспортных средств на условиях гражданско-правовых отношениях </w:t>
            </w:r>
            <w:r w:rsidR="006A3970" w:rsidRPr="006A3970">
              <w:rPr>
                <w:rFonts w:ascii="Times New Roman" w:hAnsi="Times New Roman"/>
                <w:i/>
                <w:sz w:val="24"/>
                <w:szCs w:val="32"/>
                <w:lang w:eastAsia="en-US"/>
              </w:rPr>
              <w:t>(сделки, договоры).</w:t>
            </w:r>
            <w:r w:rsidR="006A3970" w:rsidRPr="006A3970"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Тем самым, ВТО обретет стимул для владельцев автотранспорта (содержание автотранспорта в исправном состоянии, а также экономическое стимулирование, в случае передачи автотранспорта в использование по запросу).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Замена статуса Плана производства товаров, выполнения работ и оказания услуг как самостоятельного правового акта на элемент мобилизационного плана позволит оперативно (своевременно) проводить внесение в него соответствующих изменений и дополнений (ежегодно) в рамках уточнения плана обороны, организовать работу в госорганах и организациях по его реализации </w:t>
            </w:r>
            <w:r>
              <w:rPr>
                <w:rFonts w:ascii="Times New Roman" w:hAnsi="Times New Roman"/>
                <w:i/>
                <w:sz w:val="24"/>
                <w:szCs w:val="32"/>
                <w:lang w:eastAsia="en-US"/>
              </w:rPr>
              <w:t>(заключение договоров, создание запасов, подготовка специалистов)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. Ранее План производства будучи самостоятельным правовым актов в связи с длительными сроками его разработки и уточнения (до 2-х лет) не обеспечивал своевременное принятия мер по введению в действие мобилизационных планов, восполнению потребностей войск, а также не отражал результаты совершенствования системы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 xml:space="preserve">государственного управления и развития отраслей экономики. 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Замена в статье 10 понятия «задание» на «заказ» позволит привести норму в соответствие с законодательством (задание размещается на госорганы, а заказ – на организации;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Замена в статье 13 понятия «полномочие» на «компетенция», что позволит привести норму в соответствие с законодательством </w:t>
            </w:r>
            <w:r>
              <w:rPr>
                <w:rFonts w:ascii="Times New Roman" w:hAnsi="Times New Roman"/>
                <w:i/>
                <w:sz w:val="24"/>
                <w:szCs w:val="32"/>
                <w:lang w:eastAsia="en-US"/>
              </w:rPr>
              <w:t>(полномочия имеет Президент и Парламент, а госорганы – компетенции)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Корректировка алгоритма планирования и проведения госконтроля (ст. 19-1 и 19-2) состояния </w:t>
            </w:r>
            <w:proofErr w:type="spellStart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мобподготовки</w:t>
            </w:r>
            <w:proofErr w:type="spellEnd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субъектов контроля позволит актуализировать сроки планирования и проведения контроля.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Введение понятия «специальный заказ» позволит значительно расширить перечень заинтересованных организаций, выполняющих заказы по восполнению потребностей войск.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Реализация дополнительных и уточненных норм будет способствовать: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1) приведению Закона в соответствие нормами действующего законодательства и исключению коллизий;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2) усовершенствованию некоторых подзаконных актов в указанной сфере в связи с перераспределением компетенций между Правительством, МО и МНЭ;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3) привлечению транспортных средств юридических и физических лиц для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 xml:space="preserve">прохождения </w:t>
            </w:r>
            <w:proofErr w:type="spellStart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сборовой</w:t>
            </w:r>
            <w:proofErr w:type="spellEnd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подготовки, что будет способствовать повышению боевой и мобилизационной готовности войск.</w:t>
            </w:r>
            <w:r>
              <w:rPr>
                <w:rFonts w:ascii="Times New Roman" w:hAnsi="Times New Roman"/>
                <w:sz w:val="24"/>
                <w:szCs w:val="32"/>
                <w:highlight w:val="green"/>
                <w:lang w:eastAsia="en-US"/>
              </w:rPr>
              <w:t xml:space="preserve">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4) уточнению сроков планирования контроля субъектов;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5) совершенствованию алгоритма осуществления госконтроля.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Описываемая проблема носит организационно-правовой характер.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</w:tc>
      </w:tr>
      <w:tr w:rsidR="00FD24E0">
        <w:trPr>
          <w:trHeight w:val="18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Перераспределение компетенций и полномочий между субъектами мобилизационной подготовки и мобилизации;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 перераспределение компетенции по утверждению Правил ВТО от МНЭ на Правительство;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2) перераспределение компетенции по разработке Правил ВТО от МНЭ в МО;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3) перераспределение компетенции по разработке Правил определения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мобпотребностей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Вооруженных Сил из отраслей экономики от МНЭ в МО;</w:t>
            </w:r>
          </w:p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Действующая редакция Закона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  <w:t>в части распределения функций между Правительством, государственными органами и уполномоченным органом в области мобилизационной подготовки (далее – уполномоченный орган) требует корректировки в целях оперативной и эффективной реализации мероприятий мобилизационной подготовки.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Например, на сегодняшний день уполномоченный орган по мобилизационной подготовке и мобилизации разрабатывает и утверждает правила ВТО. Учитывая принципы государственного управления и важность рассматриваемого вопроса, порядок реализации военно-транспортной обязанности предлагается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разработку  НПА</w:t>
            </w:r>
            <w:proofErr w:type="gramEnd"/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закрепить за уполномоченным органом в области обороны, так как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Правила предусматривают наделение разработчиком и подписантом (МНЭ) компетенциями иные госорганы (МО), при этом  согласно Закону «О правовых актах» каждый госорган-разработчик (ст. 1)  осуществляет деятельность в соответствии с их компетенциями. Согласно ст. 7-1 Закона «О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мобподготовке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мобилизации такая компетенция у МНЭ отсутствует, что предусматривает перераспределение компетенции по утверждению Правил ВТО на Правительство;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связи с тем, что все исходные данные, необходимые для определения мобилизационных потребностей войск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(штаты, табеля к штатам, сведения о текущем и временном некомплекте, принципы комплектования войск людскими и транспортными ресурсами)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находятся в МО РК, целесообразно возложить на Министерство компетенции по разработке Правил определения мобилизационных потребностей.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В соответствии с подпунктом 1) пункт 1 Указа Президента от 25 августа 2014 года № 898 «О мерах по разграничению полномочий между уровнями государственного управления Республики Казахстан», на Правительство возложены функции по разработке основных направлений обороноспособности и безопасности, в связи с этим, порядок осуществления ВТО предлагается определить на уровне акта Правительства, что позволит наделить дополнительными компетенциями МО и другие госорганы, что будет способствовать повышению боевой и мобилизационной готовности войск.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При этом, появляется возможность реализовать нормы Закона «О воинской службе и статусе военнослужащих в части организации и проведения воинских сборов по обслуживанию транспортных средств юридических и физических лиц, поставленных на воинские сборы в рамках реализации Правил ВТО, с одновременным их изучением. 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Перераспределение компетенций позволит дополнить Правила ВТО нормами следующего содержания: 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22. Министерство обороны Республики Казахстан, Министерство внутренних дел Республики Казахстан,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Министерство по чрезвычайным ситуациям Республики Казахстан,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национальной безопасности Республики Казахстан, Служба государственной охраны Республики Казахстан в соответствии с настоящим Правилами привлекают транспортные средства юридических лиц на учения или воинские сборы для проверки их технического состояния и готовности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передаче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Вооруженным Силам, другим войскам и воинским формированиям, специальным государственным органам Республики Казахстан в соответствии с мобилизационным заказом.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23. Местный исполнительный орган области, города республиканского значения и столицы на основании принятого постановления 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акимата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привлекает транспортные средства юридических лиц на учения или воинские сборы в объеме задач территориальной и гражданской обороны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 </w:t>
            </w:r>
            <w:proofErr w:type="gramEnd"/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Описываемая проблема носит организационно-правовой характер.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24E0">
        <w:trPr>
          <w:trHeight w:val="18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Отсутствие в законе понятия «специальный заказ»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внесение в статью 1 понятия «специальный заказ»;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На сегодняшний день сложилась такая ситуация, когда значительная часть предприятий и организаций не могут развиваться без достаточных финансовых инвестиций и прежде всего от иностранных государств.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При этом с увеличением доли иностранного капитала в организациях </w:t>
            </w:r>
            <w:r>
              <w:rPr>
                <w:rFonts w:ascii="Times New Roman" w:eastAsia="Calibri" w:hAnsi="Times New Roman"/>
                <w:i/>
                <w:sz w:val="24"/>
                <w:szCs w:val="32"/>
                <w:lang w:eastAsia="en-US"/>
              </w:rPr>
              <w:t>(владельцы акций)</w:t>
            </w: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увеличивается количество граждан иностранных государств среди руководства, что не позволяет проводить в организациях работу, связанную с государственной и служебной тайной. 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настоящее время мобилизационным планом государства на государственные органы и организации размещены мобилизационные задания и мобилизационные заказы, направленных на восполнение мобилизационных потребностей Вооруженных Сил, других войск и воинских формирований в военное время.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 этом, реализация мобилизационных заданий и заказов не распространяется на правовой режим чрезвычайного положения.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дополнения позволит: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 расширить перечень заинтересованных организаций, на которые возможно размещение специальных (мобилизационных) заказов;</w:t>
            </w:r>
          </w:p>
          <w:p w:rsidR="00FD24E0" w:rsidRDefault="00034ABE" w:rsidP="006A3970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2) расширить правовое поле применения предлагаемой нормы (реализация специальных (мобилизационных) заказов будет возможна не только в период военного положения в военное время, но и в период чрезвычайного положен</w:t>
            </w:r>
            <w:r w:rsidR="006A3970">
              <w:rPr>
                <w:rFonts w:ascii="Times New Roman" w:hAnsi="Times New Roman"/>
                <w:sz w:val="24"/>
                <w:szCs w:val="24"/>
                <w:lang w:eastAsia="en-US"/>
              </w:rPr>
              <w:t>ия.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</w:tc>
      </w:tr>
      <w:tr w:rsidR="00FD24E0">
        <w:trPr>
          <w:trHeight w:val="14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 соответствие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статье  10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понятия «задание» содержанию статьи «Обязанности руководителей организаций»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Замена в статье 10 понятия «задания» на «заказ»;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В связи с тем</w:t>
            </w:r>
            <w:r>
              <w:rPr>
                <w:rFonts w:ascii="Times New Roman" w:eastAsia="Calibri" w:hAnsi="Times New Roman"/>
                <w:sz w:val="24"/>
                <w:szCs w:val="32"/>
                <w:lang w:val="kk-KZ"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что в статье распределяются обязанности руководителей организации, при этом на организации не размещаются мобилизационные задания </w:t>
            </w:r>
            <w:r w:rsidR="00A0665A"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согласно статье</w:t>
            </w: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1 ЗРК.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При размещении мобилизационных заказов на </w:t>
            </w: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lastRenderedPageBreak/>
              <w:t>организации со ссылкой отраслевого госоргана на статью со стороны организаций имеют место быть попытки отказываться от заказа со ссылкой на статью, так как в статье речь идет о заданиях, а на организации размещаются заказы.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Согласно Закону, на государственные органы размещаются мобилизационные задания, а на организации – мобилизационные заказы, при этом: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-мобилизационное задание – задание государственным органам на выполнение мероприятий, направленных на решение задач по обеспечению устойчивого функционирования государства в период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мобилизации, военного положения и в военное время;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-мобилизационный заказ – государственный заказ организациям на производство товаров, выполнение работ и оказание услуг определенной номенклатуры, их количество и качество, создание специальных формирований в период мобилизации, военного положения и в военное время;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Согласно действующей номе организации, не являясь государственными органами, не вправе отказаться от размещенного задания.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Замена понятий позволит привести норму Закона в соответствие с действующим законодательством.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Описываемая проблема носит организационно-правовой характер.</w:t>
            </w:r>
          </w:p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</w:tc>
      </w:tr>
      <w:tr w:rsidR="00FD24E0">
        <w:trPr>
          <w:trHeight w:val="12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соответствие статуса Плана производства товаров, выполнения работ и оказания услуг (подпункт 1) статьи 7-1 Закона) реальному положению дел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Внесение дополнений в пункт 1) статьи 7-1 в части определения плана производства товаров, выполнения работ и оказания услуг не в виде самостоятельного правового акта, а как элемента мобилизационного плана государства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До 2018 года план производства был исполнен в виде самостоятельного правового акта. Основная задача плана производства – обеспечение реализации </w:t>
            </w: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lastRenderedPageBreak/>
              <w:t xml:space="preserve">госорганами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мобзаданий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, размещенных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мобпланом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. 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При этом, план производства в 2012 году утвержден на 2 года позже утверждения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мобплана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(2010 год), а в 2017 году – на 17 месяцев (2015 год).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Сложившаяся ситуация не позволяла своевременно утверждать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мобпланы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госорганов и организаций, принимать меры по подготовке к реализации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мобпланов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РК, госорганов и организаций, вносить изменения в Номенклатуру и объемы хранения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матценностей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госматрезерва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, заключать договоры и создавать необходимые запасы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мобрезерва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В 2018 году план производства вколочен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>мобплан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 РК в виде подраздела, что позволило исключить указанные выше проблемы.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32"/>
                <w:lang w:eastAsia="en-US"/>
              </w:rPr>
              <w:t xml:space="preserve">Исследования, проведенные в 2020 году АО «ИЭИ» показали правильность принятого решения.    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Согласно подпункту 15) статьи 1 Закона План производства товаров, выполнения работ и оказания услуг на соответствующий период – план, устанавливающий мобилизационные заказы организациям для обеспечения потребностей Вооруженных Сил, других войск и воинских формирований, специальных государственных органов, населения Республики Казахстан и функционирования административно-территориальных единиц в период мобилизации, военного положения и в военное время.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Анализ разработки и корректировки Плана производства, существующего в виде самостоятельного правового акта показал: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1) разработка и утверждение Плана производства в связи с громоздкостью и большим объемом инф</w:t>
            </w:r>
            <w:r w:rsidR="00A0665A">
              <w:rPr>
                <w:rFonts w:ascii="Times New Roman" w:hAnsi="Times New Roman"/>
                <w:sz w:val="24"/>
                <w:szCs w:val="32"/>
                <w:lang w:eastAsia="en-US"/>
              </w:rPr>
              <w:t>ормации затягивалась на более д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лительный срок от сроков утверждения мобилизационного плана </w:t>
            </w:r>
            <w:r>
              <w:rPr>
                <w:rFonts w:ascii="Times New Roman" w:hAnsi="Times New Roman"/>
                <w:i/>
                <w:sz w:val="24"/>
                <w:szCs w:val="32"/>
                <w:lang w:eastAsia="en-US"/>
              </w:rPr>
              <w:t>(от 1 до 1.5 лет)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;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2) затягивание сроков утверждения мобилизационного плана и плана производства не позволяло госорганам: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своевременно разрабатывать мобилизационные планы и обеспечить подготовку к их реализации;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создавать запасы необходимых материальных ценностей;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заключать договоры на выполнение мобилизационных заказов;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проводить своевременную корректировку мобилизационных планов.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При этом, в 2018 году план производства был включен в мобилизационный план Республики Казахстан на очередной период в виде раздела.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реализации нормы (в период с 2018 года по н/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.) по включению Плана производства в виде раздела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мобплан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показал правильность принятия данного решения.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учетом изложенного целесообразно внести соответствующие изменения в статью 7-1, определив план производства в качестве раздела мобилизационного плана.  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Включение Плана производства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мобплан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РК в виде раздела с учетом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действующего алгоритма внесения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мобплан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корректировок позволило:</w:t>
            </w:r>
          </w:p>
          <w:p w:rsidR="00FD24E0" w:rsidRDefault="00034ABE">
            <w:pPr>
              <w:spacing w:after="0" w:line="240" w:lineRule="auto"/>
              <w:ind w:firstLine="35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ежегодно актуализировать План производства с учетом совершенствования системы государственного управления, развития отраслей экономики, а также изменениями потребностей войск;</w:t>
            </w:r>
          </w:p>
          <w:p w:rsidR="00FD24E0" w:rsidRDefault="00034ABE">
            <w:pPr>
              <w:spacing w:after="0" w:line="240" w:lineRule="auto"/>
              <w:ind w:firstLine="35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2) обеспечить современное внесение изменений и дополнений в Номенклатуру и объемы хранения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матценностей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госматрезерва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FD24E0" w:rsidRDefault="00034ABE" w:rsidP="006A3970">
            <w:pPr>
              <w:spacing w:after="0" w:line="240" w:lineRule="auto"/>
              <w:ind w:firstLine="35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обеспечить госорганам, имеющим задания, принять соответствующие меры по их реализации,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создавать запасы материальных ценностей, заключать договоры на выполнение мобилизационных заказов, привести подзаконные акты в области мобилизации в соответствие с Законом.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Описываемая проблема носит организационно-правовой характер.</w:t>
            </w:r>
          </w:p>
          <w:p w:rsidR="00FD24E0" w:rsidRDefault="00FD2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</w:p>
        </w:tc>
      </w:tr>
      <w:tr w:rsidR="00FD24E0">
        <w:trPr>
          <w:trHeight w:val="18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Несогласованность внутренних положений Закона.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соответствии с Законом Республики Казахстан по вопросам административной реформы в Республике Казахстан (от 19 апреля 2023 года № 223-VII ЗРК) ряд полномочий Президента передан на уровень Правительства, а Правительства государственным органам.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 этом, правовые акты, разрабатываемые и утверждаемые центральными государственными органами,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не всегда могут обеспечить реализацию норм другими государственными органами 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(Правила о военно-транспортной обязанности и др.)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Кроме того, в целях обеспечения разработки и утверждения некоторых правовых актов целесообразно пересмотреть компетенции на всех уровнях.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 Законе предусмотрено полномочие Президента Республики Казахстан по утверждению правил оценки мобилизационной готовности государственных органов, организаций, имеющих мобилизационные задания и мобилизационные заказы.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настоящее время правила оценки вошли в структуру Правил мобилизационной подготовки и мобилизации в Республике Казахстан, которые утверждены Указом Президента.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 связи с этим для решения данного вопроса на подзаконном уровне должны быть приняты самостоятельные НПА: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Правила оценки мобилизационной готовности государственных органов, организаций, имеющих мобилизационные задания и мобилизационные заказы 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(согласно статье 5 Закона),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которые будут разрабатываться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уполномоченным органом в области мобилизационной подготовки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Описываемая проблема носит организационно-правовой характер.</w:t>
            </w:r>
          </w:p>
          <w:p w:rsidR="00FD24E0" w:rsidRDefault="00FD24E0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D24E0" w:rsidRDefault="00FD24E0">
      <w:pPr>
        <w:rPr>
          <w:rFonts w:ascii="Times New Roman" w:hAnsi="Times New Roman"/>
          <w:b/>
          <w:sz w:val="24"/>
        </w:rPr>
      </w:pPr>
    </w:p>
    <w:p w:rsidR="00FD24E0" w:rsidRDefault="00034AB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2. Анализ текущей ситуации, сопоставление мирового опыта, наиболее схожего с национальным регулированием:</w:t>
      </w:r>
    </w:p>
    <w:p w:rsidR="00FD24E0" w:rsidRDefault="00FD24E0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704"/>
        <w:gridCol w:w="6804"/>
        <w:gridCol w:w="7513"/>
      </w:tblGrid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br/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Текущая ситуация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Международный опыт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Законе отсутствует понятие «специальные заказы».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понятия позволить значительно расширить перечень заинтересованных организаций, выполняющих заказы в интересах Вооруженных Сил в период чрезвычайного и военного положения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 ряде стран ОДКБ в действующем законодательстве используется данное понятие.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При реализации предлагаемой инициативы будут также внесены соответствующие поправки на подзаконном уровне, которые позволят увеличить общее количество организаций выполняющие заказы, направленные на обеспечение Вооруженных Сил в период мобилизации, военного положения и в военное время. 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перераспределения полномочий и компетенций между Президентом, Правительством и государственными органами показывает снижение реализационных функций государственных органов.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 международных организациях (ОДКБ, НАТО, ШОС, БРИКС и др.)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 период подготовки к военным действиям, а также в период военного времени происходит пересмотр правовой базы, направленной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на обеспечение функционирования государства (Вооруженных Сил, экономики, населения и территории), в том числе и в режиме ручного управления. Анализ ведения боевых действий между Россией и Украиной, Арменией и Азербайджаном показал, что в течении первого </w:t>
            </w:r>
            <w:r>
              <w:rPr>
                <w:rFonts w:ascii="Times New Roman" w:hAnsi="Times New Roman"/>
                <w:sz w:val="24"/>
                <w:lang w:eastAsia="en-US"/>
              </w:rPr>
              <w:lastRenderedPageBreak/>
              <w:t xml:space="preserve">месяца войны законодательные органы власти в авральном режиме работали над разработкой и принятием правовых актов, регламентирующих деятельность государств и всех их институтов в период мобилизации, военного положения и в военное 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 xml:space="preserve">время.  </w:t>
            </w:r>
            <w:proofErr w:type="gramEnd"/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lastRenderedPageBreak/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Республике Казахстан нормы законодательства направлены прежде всего на обеспечение функционирования государства 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мирное время, однако в условиях мобилизации и военного положения наблюдается определенная фрагментация правовых норм, что ограничивает их эффективность и не определяет порядок функционирование государства в военное время. 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настоящее время в Республике Казахстан лишь небольшая часть нормативных правовых актов регламентируют деятельность государства в военное время по отдельным направлениям: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Закон «О военном положении» – в полном объеме;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Закон «О воинской службе и статусе военнослужащих» – статья 14 «Всеобщее военное обучение граждан»;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Закон «Об обороне и Вооруженных Силах Республики Казахстан» – статья 19 «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Общий состав Вооруженных Сил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– вступает в силу в военное время и определяет порядок передачи в состав Вооруженных Сил РК других войск и воинских формирований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(Пограничная служба, Авиационная служба, Пограничная академия Комитета </w:t>
            </w:r>
            <w:bookmarkStart w:id="2" w:name="_GoBack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национальной</w:t>
            </w:r>
            <w:bookmarkEnd w:id="2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безопасности Республики Казахстан и иные подразделения органов национальной безопасности Республики Казахстан, определяемые в установленном законодательством Республики Казахстан порядке, Национальная гвардия и органы управления гражданской обороны уполномоченного органа в сфере гражданской защиты, а также специальные формирования);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 «О государственном имуществе» – глава 4 «Реквизиция» – вступает в силу в период чрезвычайного положения и военного положения и определяет порядок реквизиции (изъятия) имущества у юридических и физических лиц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доукомплектование воинских частей в военное время, а также на доукомплектование спасательных подразделений в период чрезвычайного положения;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другие нормативные правовые акты.</w:t>
            </w:r>
          </w:p>
          <w:p w:rsidR="00FD24E0" w:rsidRDefault="00034ABE">
            <w:pPr>
              <w:spacing w:after="0" w:line="240" w:lineRule="auto"/>
              <w:ind w:firstLine="17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связи с чем, в законопроекте предполагается предусмотреть некоторые отсылочные нормы, регламентирующие функционирование государства в период мобилизации, военного положения и в военное время, регламентация которых будет осуществлена на подзаконном уровне.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lastRenderedPageBreak/>
              <w:t xml:space="preserve">К примеру, в Российской Федерации в мирное время разработаны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и подписаны более 40-ка законодательных актов, направленных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на обеспечение функционирования государства в период мобилизации, военного положения и в военное время.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 США отдельные военнослужащие, части подразделений или целые подразделения резервных компонентов могут быть призваны на действительную службу (их также называют мобилизованными, активированными или призванными) при определенных условиях.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 США имеются следующие виды мобилизации: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полная мобилизация – требует объявление войны или чрезвычайной ситуации Конгрессом США и может длиться до истечения шести месяцев после окончания войны или чрезвычайной ситуации, в связи с которой она была объявлена. При полной мобилизации призываются все резервисты </w:t>
            </w:r>
            <w:r>
              <w:rPr>
                <w:rFonts w:ascii="Times New Roman" w:hAnsi="Times New Roman"/>
                <w:i/>
                <w:iCs/>
                <w:sz w:val="24"/>
                <w:lang w:eastAsia="en-US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eastAsia="en-US"/>
              </w:rPr>
              <w:t>т.ч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eastAsia="en-US"/>
              </w:rPr>
              <w:t>. неактивные и отставные)</w:t>
            </w:r>
            <w:r>
              <w:rPr>
                <w:rFonts w:ascii="Times New Roman" w:hAnsi="Times New Roman"/>
                <w:sz w:val="24"/>
                <w:lang w:eastAsia="en-US"/>
              </w:rPr>
              <w:t>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- частичная мобилизация – требует объявления национальной чрезвычайной ситуации. Касается только лиц, относящихся к подготовленному резерву, и ограничивается 1 млн. чел., задействованных не более чем на два года.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 момента образования КНР в 1949 г. в Китае проведены несколько частичных и масштабных мобилизационных мероприятий. Военная мобилизация, в основном, проводилась скрытно. Вооруженные конфликты с участием КНР, в преддверии и ходе которых проведены мобилизационные мероприятия: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- китайско-индийская пограничная война 1962;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кампания 1975 г. по захвату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Парасельских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островов у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Въетнама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;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- китайско-вьетнамский вооруженный конфликт в 1979 г.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 ряде стран Евросоюза (Швеция, Бельгия и др.) согласно законодательству граждане, приписанные на доукомплектование </w:t>
            </w:r>
            <w:r>
              <w:rPr>
                <w:rFonts w:ascii="Times New Roman" w:hAnsi="Times New Roman"/>
                <w:sz w:val="24"/>
                <w:lang w:eastAsia="en-US"/>
              </w:rPr>
              <w:lastRenderedPageBreak/>
              <w:t>войск, хранят дома комплект военной формы одежды, оружие без боеприпасов и средства индивидуальной защиты.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 КНР на должность каждого военнослужащего приписан неподготовленный военнообязанный. Это позволяет в ходе учений в течении месяца призвать второй комплект и подготовить на должном уровне специалистов согласно занимаемым должностям. В итоге, через месяц в войсках создается вторая воинская часть аналогичной существующей воинской части (батальон, полк, бригада, дивизия и др.)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Международный опыт показывает, что успешное функционирование государства в период мобилизации и военного положения требует комплексного и интегрированного подхода к законодательному регулированию. К примеру, в ряде стран Европейского Союза и в США существует целостная правовая база, которая охватывает все аспекты мобилизационной готовности и чрезвычайного положения. Это включает не только оборонные и военные аспекты, но и гражданскую оборону, защиту критической инфраструктуры, управление ресурсами и логистикой. </w:t>
            </w:r>
          </w:p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Перераспределение полномочий и компетенций позволяет повысить реализационные функции госорганов и обеспечив создание правовой базы, регулирующей функционирование государства в военное время     </w:t>
            </w:r>
          </w:p>
        </w:tc>
      </w:tr>
    </w:tbl>
    <w:p w:rsidR="00FD24E0" w:rsidRDefault="00FD24E0">
      <w:pPr>
        <w:spacing w:after="0" w:line="240" w:lineRule="auto"/>
        <w:ind w:firstLine="720"/>
        <w:rPr>
          <w:rFonts w:ascii="Times New Roman" w:hAnsi="Times New Roman"/>
          <w:b/>
          <w:bCs/>
          <w:sz w:val="24"/>
        </w:rPr>
      </w:pPr>
    </w:p>
    <w:p w:rsidR="00FD24E0" w:rsidRDefault="00034ABE">
      <w:pPr>
        <w:spacing w:after="0" w:line="240" w:lineRule="auto"/>
        <w:ind w:left="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3. Предлагаемые пути решения описанной проблемы:</w:t>
      </w:r>
    </w:p>
    <w:p w:rsidR="00FD24E0" w:rsidRDefault="00FD24E0">
      <w:pPr>
        <w:spacing w:after="0" w:line="240" w:lineRule="auto"/>
        <w:ind w:left="360"/>
        <w:rPr>
          <w:rFonts w:ascii="Times New Roman" w:hAnsi="Times New Roman"/>
          <w:b/>
          <w:bCs/>
          <w:sz w:val="24"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704"/>
        <w:gridCol w:w="4961"/>
        <w:gridCol w:w="4962"/>
        <w:gridCol w:w="4394"/>
      </w:tblGrid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Решение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Плюсы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Минусы</w:t>
            </w:r>
          </w:p>
        </w:tc>
      </w:tr>
      <w:tr w:rsidR="00FD24E0">
        <w:trPr>
          <w:trHeight w:val="3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в Закон понятия «специальные заказы».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настоящее время мобилизационным планом государства на государственные органы и организации размещены мобилизационные задания и мобилизационные заказы, направленных на восполнение мобилизационных потребностей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Вооруженных Сил, других войск и воинских формирований в военное время.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 этом, реализация мобилизационных заданий и заказов не распространяется на правовой режим чрезвычайного положения.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дополнения позволит: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 расширить перечень заинтересованных организаций, на которые возможно размещение специальных (мобилизационных) заказов;</w:t>
            </w:r>
          </w:p>
          <w:p w:rsidR="00FD24E0" w:rsidRDefault="00034ABE" w:rsidP="006A3970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2) расширить правовое поле применения предлагаемой нормы (реализация специальных (мобилизационных) заказов будет возможна не только в период военного положения в военное время, но и в период чрезвычайного положения.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Отсутствуют.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Возложить на Правительство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(статья 8 Закона)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компетенцию по утверждению Правил о военно-транспортной обязанности в Республике Казахстан в период мобилизации, военного положения и в военное время.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Перераспределение компетенций и полномочий между субъектами мобилизационной подготовки и мобилизации</w:t>
            </w: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.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П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орядок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осуществления ВТО предлагается определить на уровне акта Правительства, что позволит наделить дополнительными компетенциями МО и другие госорганы, что будет способствовать повышению боевой и мобилизационной готовности войск.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В соответствии с подпунктом 1) пункт 1 Указа</w:t>
            </w:r>
            <w:r>
              <w:rPr>
                <w:rFonts w:ascii="Times New Roman" w:hAnsi="Times New Roman"/>
                <w:sz w:val="24"/>
                <w:szCs w:val="32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Президента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br/>
              <w:t>от 25 августа 2014 года № 898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br/>
              <w:t xml:space="preserve"> «О мерах по разграничению полномочий между уровнями государственного управления Республики Казахстан», на Правительство возложены функции по разработке основных направлений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обороноспособности и безопасности, в связи с этим, порядок осуществления ВТО предлагается определить на уровне акта Правительства, что позволит наделить дополнительными компетенциями МО и другие госорганы, что будет способствовать повышению боевой и мобилизационной готовности войск.</w:t>
            </w:r>
          </w:p>
          <w:p w:rsidR="006A397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Кроме того, разработка Правил ВТО Министерством обороны и утверждение их постановлением Правительства с наделением дополнительными компетенциями МО, МВД, КНБ, МЧС, СГО и МИО позволит реализовать на местах норму подпункта 6) пункта 1 статьи 10 Закона, предусматривающую руководителей организаций в предоставлении транспортных средств на укомплектование Вооруженных Сил, других войск и воинских формирований не только в период мобилизации, военного положения и в военное время</w:t>
            </w:r>
            <w:r w:rsidR="006A3970">
              <w:rPr>
                <w:rFonts w:ascii="Times New Roman" w:hAnsi="Times New Roman"/>
                <w:sz w:val="24"/>
                <w:szCs w:val="32"/>
                <w:lang w:val="kk-KZ" w:eastAsia="en-US"/>
              </w:rPr>
              <w:t>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При этом, появляется возможность реализовать нормы Закона «О воинской службе и статусе военнослужащих в части организации и проведения воинских сборов по обслуживанию транспортных средств юридических и физических лиц, поставленных на воинские в рамках реализации Правил </w:t>
            </w:r>
            <w:proofErr w:type="gramStart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ВТО,  с</w:t>
            </w:r>
            <w:proofErr w:type="gramEnd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одновременным их изучением. 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Перераспределение компетенций позволит дополнить Правила ВТО нормами следующего содержания: 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22. Министерство обороны Республики Казахстан, Министерство внутренних дел Республики Казахстан,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Министерство по чрезвычайным ситуациям Республики Казахстан,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национальной безопасности Республики Казахстан, Служба государственной охраны Республики Казахстан в соответствии с настоящим Правилами привлекают транспортные средства юридических лиц на учения или воинские сборы для проверки их технического состояния и готовности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передаче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Вооруженным Силам, другим войскам и воинским формированиям, специальным государственным органам Республики Казахстан в соответствии с мобилизационным заказом.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23. Местный исполнительный орган области, города республиканского значения и столицы на основании принятого постановления 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акимата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привлекает транспортные средства юридических лиц на учения или воинские сборы в объеме задач территориальной и гражданской обороны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 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Отсутствуют.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6A39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lastRenderedPageBreak/>
              <w:t>3</w:t>
            </w:r>
            <w:r w:rsidR="00034AB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настоящее время «План производства товаров, выполнения работ и оказания услуг на очередной период» утвержден в качестве раздела мобилизационного плана государства – элемента плана обороны РК Указом Президента, вместе с тем в соответствии с подпунктом 1) статьи 7-1 Закона, указанный план должен быть разработан как отдельный правовой акт.</w:t>
            </w:r>
          </w:p>
          <w:p w:rsidR="00FD24E0" w:rsidRDefault="00FD24E0">
            <w:pPr>
              <w:spacing w:after="0" w:line="240" w:lineRule="auto"/>
              <w:ind w:firstLine="318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318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318"/>
              <w:jc w:val="both"/>
              <w:rPr>
                <w:rFonts w:ascii="Times New Roman" w:eastAsia="Calibri" w:hAnsi="Times New Roman"/>
                <w:sz w:val="24"/>
                <w:szCs w:val="32"/>
                <w:lang w:eastAsia="en-US"/>
              </w:rPr>
            </w:pPr>
          </w:p>
          <w:p w:rsidR="00FD24E0" w:rsidRDefault="00FD24E0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 xml:space="preserve">Согласно подпункту 15) статьи 1 </w:t>
            </w:r>
            <w:proofErr w:type="gramStart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Закона  План</w:t>
            </w:r>
            <w:proofErr w:type="gramEnd"/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производства товаров, выполнения работ и оказания услуг  на соответствующий период – план, устанавливающий мобилизационные заказы организациям для обеспечения потребностей Вооруженных Сил, других войск и воинских формирований, специальных государственных органов, населения Республики Казахстан и 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lastRenderedPageBreak/>
              <w:t>функционирования административно-территориальных единиц в период мобилизации, военного положения и в военное время.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Анализ разработки и корректировки Плана производства, существующего в виде самостоятельного правового акта показал: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1) разработка и утверждение Плана производства в связи с громоздкостью и большим объемом информации затягивалась на более делительный срок от сроков утверждения мобилизационного плана </w:t>
            </w:r>
            <w:r>
              <w:rPr>
                <w:rFonts w:ascii="Times New Roman" w:hAnsi="Times New Roman"/>
                <w:i/>
                <w:sz w:val="24"/>
                <w:szCs w:val="32"/>
                <w:lang w:eastAsia="en-US"/>
              </w:rPr>
              <w:t>(от 1 до 1.5 лет)</w:t>
            </w: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;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2) затягивание сроков утверждения мобилизационного плана и плана производства не позволяло госорганам: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своевременно разрабатывать мобилизационные планы и обеспечить подготовку к их реализации;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создавать запасы необходимых материальных ценностей;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заключать договоры на выполнение мобилизационных заказов;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 проводить своевременную корректировку мобилизационных планов.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>При этом, в 2018 году план производства был включен в мобилизационный план Республики Казахстан на очередной период в виде раздела.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реализации нормы (в период с 2018 года по н/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.) по включению Плана производства в виде раздела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мобплан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показал правильность принятия данного решения.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учетом изложенного целесообразно внести соответствующие изменения в статью 7-1, определив план производства в качестве раздела мобилизационного плана.  </w:t>
            </w:r>
          </w:p>
          <w:p w:rsidR="00FD24E0" w:rsidRDefault="00034ABE">
            <w:pPr>
              <w:spacing w:after="0" w:line="240" w:lineRule="auto"/>
              <w:ind w:firstLine="20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Включение Плана производства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мобплан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РК в виде раздела с учетом действующего алгоритма внесения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мобплан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корректировок позволило:</w:t>
            </w:r>
          </w:p>
          <w:p w:rsidR="00FD24E0" w:rsidRDefault="00034ABE">
            <w:pPr>
              <w:spacing w:after="0" w:line="240" w:lineRule="auto"/>
              <w:ind w:firstLine="35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ежегодно актуализировать План производства с учетом совершенствования системы государственного управления, развития отраслей экономики, а также изменениями потребностей войск;</w:t>
            </w:r>
          </w:p>
          <w:p w:rsidR="00FD24E0" w:rsidRDefault="00034ABE">
            <w:pPr>
              <w:spacing w:after="0" w:line="240" w:lineRule="auto"/>
              <w:ind w:firstLine="35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2) обеспечить современное внесение изменений и дополнений в Номенклатуру и объемы хранения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матценностей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госматрезерва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FD24E0" w:rsidRDefault="00034ABE" w:rsidP="006A3970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обеспечить госорганам, имеющим задания, принять соответствующие меры по их реализации,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создавать запасы материальных ценностей, заключать договоры на выполнение мобилизационных заказов, привести подзаконные акты в области мобилизации в соответствие с Законом.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Отсутствуют.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6A39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lastRenderedPageBreak/>
              <w:t>4</w:t>
            </w:r>
            <w:r w:rsidR="00034AB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Внести корректировки в статьи 19-1 и 19-2 Закона в части уточнения порядка организации и проведения государственного контроля государственных органов и организаций, имеющих мобилизационные задания и заказы.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Данная мера позволит оптимизировать порядок организации государственного контроля и контроля за устранением выявленных недостатков в части:</w:t>
            </w:r>
          </w:p>
          <w:p w:rsidR="00FD24E0" w:rsidRDefault="00034ABE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 уточнению сроков планирования контроля субъектов;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2) совершенствованию алгоритма осуществления госконтроля;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Отсутствуют.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6A39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lastRenderedPageBreak/>
              <w:t>5</w:t>
            </w:r>
            <w:r w:rsidR="00034AB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Компетенцию по разработке Правил о военно-транспортной обязанности в Республике Казахстан в период мобилизации, военного положения и в военного времени передать от МНЭ в МО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 2021 год Правила разрабатывались МО РК)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согласованию с МНЭ.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Ранее (до 2021 года) Правила разрабатывало МО по согласованию с МНЭ.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Данная мера позволит обеспечить разработку Правил соответствующим уполномоченным органом, так как реализация Правил осуществляется местными органами военного управления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(учреждениями МО)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во взаимодействии с местными исполнительными органами. 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Кроме того, реализацией Правил занимаются местные органы военного управления (военкоматы – учреждения МО) во взаимодействие с МИО. Учет транспортных средств ведется также в местных органах военного управления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Отсутствуют.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6A39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>6</w:t>
            </w:r>
            <w:r w:rsidR="00034AB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Компетенцию по разработке Правил по определению мобилизационных потребностей Вооруженных Сил, других войск и воинских формирований из отраслей экономики передать от МНЭ в МО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 2021 год Правила разрабатывались МО РК)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согласованию с МНЭ.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32"/>
                <w:lang w:eastAsia="en-US"/>
              </w:rPr>
              <w:t xml:space="preserve">Ранее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 2021 год Правила разрабатывались МО РК)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согласованию с МНЭ.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уполномоченном органе в области мобилизационной подготовки нет специалистов, имеющих соответствующую профессиональную подготовку и исходных данных для разработки Правил.   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 этом,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все исходные данные, необходимые для определения мобилизационных потребностей войск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(штаты, табеля к штатам, сведения о текущем и временном некомплекте, принципы комплектования войск людскими и транспортными ресурсами,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нормы обеспечения по всем видам и др.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находятся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МО РК. Министерство обороны также располагает наличием подготовленных специалистов по всем видам обеспечения Вооруженных Сил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(боевое, тыловое, техническое и др.)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перераспределения компетенции позволит:</w:t>
            </w:r>
          </w:p>
          <w:p w:rsidR="00FD24E0" w:rsidRDefault="00034ABE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1) обеспечить разработку Правил соответствующим уполномоченным органом в области обороны при наличии у него всего пакета исходных данных и специалистов;</w:t>
            </w:r>
          </w:p>
          <w:p w:rsidR="00FD24E0" w:rsidRDefault="00034ABE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2) своевременно проводить корректировку Правил.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Отсутствуют.</w:t>
            </w:r>
          </w:p>
        </w:tc>
      </w:tr>
    </w:tbl>
    <w:p w:rsidR="00FD24E0" w:rsidRDefault="00FD24E0">
      <w:pPr>
        <w:spacing w:after="0" w:line="240" w:lineRule="auto"/>
        <w:ind w:firstLine="720"/>
        <w:rPr>
          <w:rFonts w:ascii="Times New Roman" w:hAnsi="Times New Roman"/>
          <w:bCs/>
          <w:sz w:val="28"/>
        </w:rPr>
      </w:pPr>
    </w:p>
    <w:p w:rsidR="00FD24E0" w:rsidRDefault="00FD24E0">
      <w:pPr>
        <w:spacing w:after="0" w:line="240" w:lineRule="auto"/>
        <w:ind w:firstLine="720"/>
        <w:rPr>
          <w:rFonts w:ascii="Times New Roman" w:hAnsi="Times New Roman"/>
          <w:bCs/>
          <w:sz w:val="28"/>
          <w:lang w:val="en-US"/>
        </w:rPr>
      </w:pPr>
    </w:p>
    <w:p w:rsidR="00FD24E0" w:rsidRPr="00E31D9C" w:rsidRDefault="00034ABE" w:rsidP="00E31D9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sz w:val="24"/>
        </w:rPr>
      </w:pPr>
      <w:r w:rsidRPr="00E31D9C">
        <w:rPr>
          <w:rFonts w:ascii="Times New Roman" w:hAnsi="Times New Roman"/>
          <w:b/>
          <w:bCs/>
          <w:sz w:val="24"/>
        </w:rPr>
        <w:t>Влияние предлагаемых путей решения на:</w:t>
      </w:r>
    </w:p>
    <w:p w:rsidR="00FD24E0" w:rsidRDefault="00FD24E0">
      <w:pPr>
        <w:pStyle w:val="a4"/>
        <w:spacing w:after="0" w:line="240" w:lineRule="auto"/>
        <w:rPr>
          <w:rFonts w:ascii="Times New Roman" w:hAnsi="Times New Roman"/>
          <w:b/>
          <w:bCs/>
          <w:sz w:val="24"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5665"/>
        <w:gridCol w:w="4962"/>
        <w:gridCol w:w="4394"/>
      </w:tblGrid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Плюсы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Минусы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Социальное развитие (уровень измерения человеческого капитала).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влекут.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влекут.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Развитие предпринимательства.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ind w:left="38" w:hanging="3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технического состояния техники и поддержания их в состоянии боевой готовности, что позволит предпринимателям в период военного положения без задержки передавать технику в ВС.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влекут.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Органы государственной власти.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Регламентирование надлежащего распределения функций между уровнями государственного управления.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влекут.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Экономическую систему.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Принятие проекта в совокупности положительно скажется на состоянии экономической системы.</w:t>
            </w:r>
          </w:p>
          <w:p w:rsidR="00FD24E0" w:rsidRDefault="00034ABE">
            <w:pPr>
              <w:pStyle w:val="a4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Так, например, размещение специальных заказов повлечет поступление налоговых отчислений в республиканский бюджет.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Не влекут.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5. Экологическую среду.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влияет на экологическую обстановку.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влекут.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 Объемы доходов и расходов государственного бюджета.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4"/>
              <w:spacing w:after="0" w:line="240" w:lineRule="auto"/>
              <w:rPr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Повлечет расходы государственного чрезвычайного бюджета, при выплате компенсаций юридическим и физическим лицам РК при ВТО и выполнении специальных заказов. </w:t>
            </w:r>
          </w:p>
        </w:tc>
      </w:tr>
      <w:tr w:rsidR="00FD24E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Иные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Отсутствуют.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влекут.</w:t>
            </w:r>
          </w:p>
        </w:tc>
      </w:tr>
    </w:tbl>
    <w:p w:rsidR="00FD24E0" w:rsidRDefault="00FD24E0">
      <w:pPr>
        <w:spacing w:after="0" w:line="240" w:lineRule="auto"/>
        <w:rPr>
          <w:rFonts w:ascii="Times New Roman" w:hAnsi="Times New Roman"/>
          <w:bCs/>
          <w:sz w:val="28"/>
        </w:rPr>
      </w:pPr>
    </w:p>
    <w:p w:rsidR="00FD24E0" w:rsidRDefault="00034ABE" w:rsidP="00E31D9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Ожидаемые результаты от введения предлагаемых путей решения:</w:t>
      </w:r>
    </w:p>
    <w:p w:rsidR="00FD24E0" w:rsidRDefault="00FD24E0">
      <w:pPr>
        <w:pStyle w:val="a4"/>
        <w:spacing w:after="0" w:line="240" w:lineRule="auto"/>
        <w:rPr>
          <w:rFonts w:ascii="Times New Roman" w:hAnsi="Times New Roman"/>
          <w:b/>
          <w:bCs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704"/>
        <w:gridCol w:w="4961"/>
        <w:gridCol w:w="4962"/>
        <w:gridCol w:w="4394"/>
      </w:tblGrid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Текущие показатели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Результат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Срок (обоснование)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1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Дисбаланс между компетенциями Правительства и государственными органами в сфере мобилизационной подготовки и мобилизации.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Концептуальный пересмотр компетенций Правительства и государственных органов приведет к усилению регулятивных и реализационных функций госорганов.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2025-2026 годы.</w:t>
            </w:r>
          </w:p>
        </w:tc>
      </w:tr>
      <w:tr w:rsidR="00FD24E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Действующее законодательство не в полной мере раскрывает механизмы и порядок функционирования государства в период мобилизации, военного положения и в военное время.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Детализация (корректировка) правовой базы, позволяющей на законодательном уровне определить порядок перехода государства с мирного времени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на военное положение и алгоритм действий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 период мобилизации и военного положения.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ind w:firstLine="17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2025-2026 годы.</w:t>
            </w:r>
          </w:p>
        </w:tc>
      </w:tr>
    </w:tbl>
    <w:p w:rsidR="00FD24E0" w:rsidRDefault="00FD24E0">
      <w:pPr>
        <w:spacing w:after="0" w:line="240" w:lineRule="auto"/>
        <w:ind w:firstLine="720"/>
        <w:rPr>
          <w:rFonts w:ascii="Times New Roman" w:hAnsi="Times New Roman"/>
          <w:b/>
          <w:bCs/>
          <w:sz w:val="24"/>
        </w:rPr>
      </w:pPr>
    </w:p>
    <w:p w:rsidR="00FD24E0" w:rsidRDefault="00034ABE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6. Механизмы реализации с указанием алгоритмов действий в случае законодательного регулирования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br/>
        <w:t>(</w:t>
      </w:r>
      <w:r>
        <w:rPr>
          <w:rFonts w:ascii="Times New Roman" w:hAnsi="Times New Roman"/>
          <w:i/>
          <w:iCs/>
          <w:sz w:val="24"/>
        </w:rPr>
        <w:t>институциональные и организационные мероприятия</w:t>
      </w:r>
      <w:r>
        <w:rPr>
          <w:rFonts w:ascii="Times New Roman" w:hAnsi="Times New Roman"/>
          <w:sz w:val="24"/>
        </w:rPr>
        <w:t>):</w:t>
      </w:r>
    </w:p>
    <w:p w:rsidR="00FD24E0" w:rsidRDefault="00FD24E0">
      <w:pPr>
        <w:spacing w:after="0" w:line="240" w:lineRule="auto"/>
        <w:ind w:firstLine="720"/>
        <w:rPr>
          <w:rFonts w:ascii="Times New Roman" w:hAnsi="Times New Roman"/>
          <w:sz w:val="24"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4673"/>
        <w:gridCol w:w="3402"/>
        <w:gridCol w:w="3827"/>
        <w:gridCol w:w="3119"/>
      </w:tblGrid>
      <w:tr w:rsidR="00FD24E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Сроки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Ответственный государственный орган (должностное лицо)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Бюджет</w:t>
            </w:r>
          </w:p>
        </w:tc>
      </w:tr>
      <w:tr w:rsidR="00FD24E0">
        <w:trPr>
          <w:trHeight w:val="2104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lastRenderedPageBreak/>
              <w:t>Разработка проекта Закона Республики Казахстан «О внесении изменений и дополнений в некоторые законодательные акты Республики Казахстан по вопросам мобилизационной подготовки и мобилизации».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2025 год.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Министерство национальной экономики Республики Казахстан</w:t>
            </w:r>
          </w:p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Вице-министр</w:t>
            </w:r>
          </w:p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Омарбеков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 Б.Б.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Не требуется.</w:t>
            </w:r>
          </w:p>
        </w:tc>
      </w:tr>
    </w:tbl>
    <w:p w:rsidR="00FD24E0" w:rsidRDefault="00FD24E0" w:rsidP="00E31D9C">
      <w:pPr>
        <w:spacing w:after="0" w:line="240" w:lineRule="auto"/>
        <w:rPr>
          <w:rFonts w:ascii="Times New Roman" w:hAnsi="Times New Roman"/>
          <w:bCs/>
          <w:sz w:val="28"/>
          <w:szCs w:val="20"/>
        </w:rPr>
      </w:pPr>
    </w:p>
    <w:p w:rsidR="00FD24E0" w:rsidRDefault="00034ABE">
      <w:pPr>
        <w:spacing w:after="0" w:line="240" w:lineRule="auto"/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  <w:lang w:val="en-US"/>
        </w:rPr>
        <w:t>7</w:t>
      </w:r>
      <w:r>
        <w:rPr>
          <w:rFonts w:ascii="Times New Roman" w:hAnsi="Times New Roman"/>
          <w:b/>
          <w:bCs/>
          <w:sz w:val="24"/>
        </w:rPr>
        <w:t>. Возможные риски:</w:t>
      </w:r>
    </w:p>
    <w:p w:rsidR="00FD24E0" w:rsidRDefault="00FD24E0">
      <w:pPr>
        <w:spacing w:after="0" w:line="240" w:lineRule="auto"/>
        <w:ind w:firstLine="720"/>
        <w:rPr>
          <w:rFonts w:ascii="Times New Roman" w:hAnsi="Times New Roman"/>
          <w:b/>
          <w:bCs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D24E0"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Возможные риски (в том числе социальные риски)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Причины возможных рисков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>Система управления рисками</w:t>
            </w:r>
          </w:p>
        </w:tc>
      </w:tr>
      <w:tr w:rsidR="00FD24E0">
        <w:trPr>
          <w:trHeight w:val="53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Риски отсутствуют.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Форс мажорные обстоятельства.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4E0" w:rsidRDefault="00034A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Ввиду отсутствия рисков не требуется система управлениями рисками.</w:t>
            </w:r>
          </w:p>
        </w:tc>
      </w:tr>
    </w:tbl>
    <w:p w:rsidR="00FD24E0" w:rsidRDefault="00034ABE">
      <w:pPr>
        <w:pStyle w:val="a3"/>
        <w:spacing w:before="0" w:beforeAutospacing="0" w:after="0" w:afterAutospacing="0"/>
        <w:ind w:firstLine="720"/>
      </w:pPr>
      <w:r>
        <w:rPr>
          <w:b/>
          <w:bCs/>
        </w:rPr>
        <w:t>8. Целевые группы для публичного обсуждения:</w:t>
      </w:r>
    </w:p>
    <w:p w:rsidR="00FD24E0" w:rsidRDefault="00034A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3" w:name="z480"/>
      <w:r>
        <w:rPr>
          <w:rFonts w:ascii="Times New Roman" w:hAnsi="Times New Roman"/>
          <w:sz w:val="24"/>
          <w:szCs w:val="24"/>
          <w:lang w:eastAsia="en-US"/>
        </w:rPr>
        <w:t>Основные субъекты: центральные и местные исполнительные органы, специальные государственные органы, государственные органы, непосредственно подчиненные и подотчетные Президенту Республики Казахстан, а также иные государственные органы.</w:t>
      </w:r>
      <w:bookmarkEnd w:id="3"/>
    </w:p>
    <w:p w:rsidR="00FD24E0" w:rsidRDefault="00034A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Неосновные субъекты, которые могут по приглашению основных субъектов участвовать в публичном обсуждении в части, их касающейся: некоммерческие организации, налогоплательщики, в том числе физические и юридические лица, индивидуальные предприниматели, применяющие в своей деятельности вводимые нормы </w:t>
      </w:r>
      <w:r>
        <w:rPr>
          <w:rFonts w:ascii="Times New Roman" w:hAnsi="Times New Roman"/>
          <w:i/>
          <w:sz w:val="24"/>
          <w:szCs w:val="24"/>
          <w:lang w:eastAsia="en-US"/>
        </w:rPr>
        <w:t>(в том числе и для проведения экспертиз законопроекта)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FD24E0" w:rsidRDefault="00034A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Государственные органы являются ключевыми участниками по реализации вводимых норм.</w:t>
      </w:r>
    </w:p>
    <w:p w:rsidR="00FD24E0" w:rsidRDefault="00034A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Некоммерческие организации, налогоплательщики, в том числе физические и юридические лица, индивидуальные предприниматели являются основными субъектами, применяющие в своей деятельности вводимые нормы.</w:t>
      </w:r>
    </w:p>
    <w:p w:rsidR="00FD24E0" w:rsidRDefault="00034A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Консультации будут проводиться с представителями государственных органов, некоммерческих организаций и налогоплательщиками.</w:t>
      </w:r>
    </w:p>
    <w:p w:rsidR="00FD24E0" w:rsidRDefault="00034ABE">
      <w:pPr>
        <w:pStyle w:val="a3"/>
        <w:spacing w:before="0" w:beforeAutospacing="0" w:after="0" w:afterAutospacing="0"/>
      </w:pPr>
      <w:r>
        <w:rPr>
          <w:i/>
          <w:iCs/>
        </w:rPr>
        <w:tab/>
      </w:r>
      <w:r>
        <w:rPr>
          <w:b/>
          <w:iCs/>
        </w:rPr>
        <w:t>9</w:t>
      </w:r>
      <w:r>
        <w:rPr>
          <w:b/>
          <w:bCs/>
        </w:rPr>
        <w:t>. Способ публичного обсуждения:</w:t>
      </w:r>
    </w:p>
    <w:p w:rsidR="00FD24E0" w:rsidRDefault="00034ABE">
      <w:pPr>
        <w:pStyle w:val="a3"/>
        <w:spacing w:before="0" w:beforeAutospacing="0" w:after="0" w:afterAutospacing="0"/>
        <w:rPr>
          <w:i/>
          <w:iCs/>
        </w:rPr>
      </w:pPr>
      <w:r>
        <w:t>     </w:t>
      </w:r>
      <w:r>
        <w:tab/>
      </w:r>
      <w:r>
        <w:rPr>
          <w:i/>
          <w:iCs/>
        </w:rPr>
        <w:t>Размещение КДРП на портале «Открытых НПА» для проведения публичных обсуждений</w:t>
      </w:r>
      <w:r>
        <w:rPr>
          <w:i/>
          <w:iCs/>
        </w:rPr>
        <w:tab/>
      </w:r>
    </w:p>
    <w:p w:rsidR="00FD24E0" w:rsidRDefault="00034ABE">
      <w:pPr>
        <w:pStyle w:val="a3"/>
        <w:spacing w:before="0" w:beforeAutospacing="0" w:after="0" w:afterAutospacing="0"/>
        <w:ind w:firstLine="720"/>
      </w:pPr>
      <w:r>
        <w:rPr>
          <w:b/>
          <w:bCs/>
        </w:rPr>
        <w:t>10. Результаты публичного обсуждения</w:t>
      </w:r>
    </w:p>
    <w:p w:rsidR="00FD24E0" w:rsidRDefault="00034ABE">
      <w:pPr>
        <w:pStyle w:val="a3"/>
        <w:spacing w:before="0" w:beforeAutospacing="0" w:after="0" w:afterAutospacing="0"/>
        <w:rPr>
          <w:i/>
          <w:iCs/>
        </w:rPr>
      </w:pPr>
      <w:r>
        <w:t>     </w:t>
      </w:r>
      <w:r>
        <w:tab/>
      </w:r>
      <w:r>
        <w:rPr>
          <w:i/>
          <w:iCs/>
        </w:rPr>
        <w:t>(текст)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6485"/>
      </w:tblGrid>
      <w:tr w:rsidR="00FD24E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034ABE">
            <w:pPr>
              <w:pStyle w:val="a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№ </w:t>
            </w:r>
            <w:r>
              <w:rPr>
                <w:lang w:eastAsia="en-US"/>
              </w:rPr>
              <w:br/>
            </w:r>
            <w:r>
              <w:rPr>
                <w:b/>
                <w:bCs/>
                <w:lang w:eastAsia="en-US"/>
              </w:rPr>
              <w:t>п/п</w:t>
            </w:r>
          </w:p>
          <w:p w:rsidR="00FD24E0" w:rsidRDefault="00FD24E0">
            <w:pPr>
              <w:pStyle w:val="a3"/>
              <w:jc w:val="center"/>
              <w:rPr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Предлагаемое решение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3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Отношение общественности (целевых групп)</w:t>
            </w:r>
          </w:p>
        </w:tc>
      </w:tr>
      <w:tr w:rsidR="00FD24E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3"/>
              <w:rPr>
                <w:b/>
                <w:bCs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3"/>
              <w:rPr>
                <w:lang w:eastAsia="en-US"/>
              </w:rPr>
            </w:pPr>
          </w:p>
        </w:tc>
      </w:tr>
      <w:tr w:rsidR="00FD24E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0" w:rsidRDefault="00034ABE">
            <w:pPr>
              <w:pStyle w:val="a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3"/>
              <w:rPr>
                <w:b/>
                <w:bCs/>
                <w:lang w:eastAsia="en-US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0" w:rsidRDefault="00FD24E0">
            <w:pPr>
              <w:pStyle w:val="a3"/>
              <w:rPr>
                <w:lang w:eastAsia="en-US"/>
              </w:rPr>
            </w:pPr>
          </w:p>
        </w:tc>
      </w:tr>
    </w:tbl>
    <w:p w:rsidR="00FD24E0" w:rsidRDefault="00FD24E0">
      <w:pPr>
        <w:pStyle w:val="a3"/>
        <w:spacing w:before="0" w:beforeAutospacing="0" w:after="0" w:afterAutospacing="0"/>
      </w:pPr>
    </w:p>
    <w:p w:rsidR="00FD24E0" w:rsidRDefault="00034ABE">
      <w:pPr>
        <w:pStyle w:val="a3"/>
        <w:spacing w:before="0" w:beforeAutospacing="0" w:after="0" w:afterAutospacing="0"/>
      </w:pPr>
      <w:r>
        <w:tab/>
      </w:r>
      <w:r>
        <w:rPr>
          <w:b/>
          <w:bCs/>
        </w:rPr>
        <w:t>11. Структура и содержание проекта закона (в случае принятия решения о необходимости разработки законодательного акта)</w:t>
      </w:r>
    </w:p>
    <w:p w:rsidR="00FD24E0" w:rsidRDefault="00034ABE">
      <w:pPr>
        <w:pStyle w:val="a3"/>
        <w:spacing w:before="0" w:beforeAutospacing="0" w:after="0" w:afterAutospacing="0"/>
      </w:pPr>
      <w:r>
        <w:t>     </w:t>
      </w:r>
      <w:r>
        <w:tab/>
        <w:t xml:space="preserve"> </w:t>
      </w:r>
      <w:r>
        <w:rPr>
          <w:i/>
          <w:iCs/>
        </w:rPr>
        <w:t>(текст)</w:t>
      </w:r>
    </w:p>
    <w:p w:rsidR="00FD24E0" w:rsidRDefault="00034ABE">
      <w:pPr>
        <w:pStyle w:val="a3"/>
        <w:spacing w:before="0" w:beforeAutospacing="0" w:after="0" w:afterAutospacing="0"/>
      </w:pPr>
      <w:r>
        <w:t xml:space="preserve">      </w:t>
      </w:r>
      <w:r>
        <w:tab/>
      </w:r>
      <w:r>
        <w:rPr>
          <w:b/>
          <w:bCs/>
        </w:rPr>
        <w:t>12. Индикаторы оценки эффективности вводимого регулирования с указанием сроков их пересмотра</w:t>
      </w:r>
    </w:p>
    <w:p w:rsidR="00FD24E0" w:rsidRDefault="00034ABE">
      <w:pPr>
        <w:pStyle w:val="a3"/>
        <w:spacing w:before="0" w:beforeAutospacing="0" w:after="0" w:afterAutospacing="0"/>
      </w:pPr>
      <w:r>
        <w:t xml:space="preserve">      </w:t>
      </w:r>
      <w:r>
        <w:tab/>
      </w:r>
      <w:r>
        <w:rPr>
          <w:i/>
          <w:iCs/>
        </w:rPr>
        <w:t>(текст)</w:t>
      </w:r>
    </w:p>
    <w:p w:rsidR="00FD24E0" w:rsidRDefault="00FD24E0"/>
    <w:p w:rsidR="00FD24E0" w:rsidRDefault="00FD24E0"/>
    <w:sectPr w:rsidR="00FD24E0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4F" w:rsidRDefault="0020674F">
      <w:pPr>
        <w:spacing w:after="0" w:line="240" w:lineRule="auto"/>
      </w:pPr>
      <w:r>
        <w:separator/>
      </w:r>
    </w:p>
  </w:endnote>
  <w:endnote w:type="continuationSeparator" w:id="0">
    <w:p w:rsidR="0020674F" w:rsidRDefault="0020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4F" w:rsidRDefault="0020674F">
      <w:pPr>
        <w:spacing w:after="0" w:line="240" w:lineRule="auto"/>
      </w:pPr>
      <w:r>
        <w:separator/>
      </w:r>
    </w:p>
  </w:footnote>
  <w:footnote w:type="continuationSeparator" w:id="0">
    <w:p w:rsidR="0020674F" w:rsidRDefault="00206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706184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FD24E0" w:rsidRDefault="00034ABE">
        <w:pPr>
          <w:pStyle w:val="a8"/>
          <w:jc w:val="center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 w:rsidR="000119BE">
          <w:rPr>
            <w:rFonts w:ascii="Times New Roman" w:hAnsi="Times New Roman"/>
            <w:noProof/>
            <w:sz w:val="24"/>
          </w:rPr>
          <w:t>12</w:t>
        </w:r>
        <w:r>
          <w:rPr>
            <w:rFonts w:ascii="Times New Roman" w:hAnsi="Times New Roman"/>
            <w:sz w:val="24"/>
          </w:rPr>
          <w:fldChar w:fldCharType="end"/>
        </w:r>
      </w:p>
    </w:sdtContent>
  </w:sdt>
  <w:p w:rsidR="00FD24E0" w:rsidRDefault="00FD24E0">
    <w:pPr>
      <w:pStyle w:val="a8"/>
      <w:jc w:val="center"/>
      <w:rPr>
        <w:rFonts w:ascii="Times New Roman" w:hAnsi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6661F"/>
    <w:multiLevelType w:val="hybridMultilevel"/>
    <w:tmpl w:val="CF44E8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97583"/>
    <w:multiLevelType w:val="hybridMultilevel"/>
    <w:tmpl w:val="CB5ACE8C"/>
    <w:lvl w:ilvl="0" w:tplc="F398C8E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E0"/>
    <w:rsid w:val="000119BE"/>
    <w:rsid w:val="00034ABE"/>
    <w:rsid w:val="0020674F"/>
    <w:rsid w:val="00234886"/>
    <w:rsid w:val="002A2652"/>
    <w:rsid w:val="00344F33"/>
    <w:rsid w:val="00375133"/>
    <w:rsid w:val="003C04CD"/>
    <w:rsid w:val="004E439A"/>
    <w:rsid w:val="00596B0E"/>
    <w:rsid w:val="005C60EA"/>
    <w:rsid w:val="006A3970"/>
    <w:rsid w:val="007341A7"/>
    <w:rsid w:val="00951BD1"/>
    <w:rsid w:val="00A0665A"/>
    <w:rsid w:val="00B238AF"/>
    <w:rsid w:val="00BA1BC8"/>
    <w:rsid w:val="00E31D9C"/>
    <w:rsid w:val="00FD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31CE21F-40D7-4341-9E9A-00528AC3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table" w:styleId="a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2493C-9FE6-4114-92A6-F16B7FFA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22</Pages>
  <Words>5342</Words>
  <Characters>30456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Рустем Картабаев</dc:creator>
  <cp:lastModifiedBy>Айсара Рахметова</cp:lastModifiedBy>
  <cp:revision>6</cp:revision>
  <cp:lastPrinted>2024-09-12T06:54:00Z</cp:lastPrinted>
  <dcterms:created xsi:type="dcterms:W3CDTF">2024-10-15T14:17:00Z</dcterms:created>
  <dcterms:modified xsi:type="dcterms:W3CDTF">2025-01-10T10:43:00Z</dcterms:modified>
</cp:coreProperties>
</file>